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035C38">
        <w:rPr>
          <w:rFonts w:ascii="Arial" w:hAnsi="Arial" w:cs="Arial"/>
          <w:b/>
          <w:noProof/>
          <w:sz w:val="24"/>
          <w:szCs w:val="24"/>
        </w:rPr>
        <w:t>06171</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33B3"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5C38" w:rsidP="00547111">
            <w:pPr>
              <w:pStyle w:val="CRCoverPage"/>
              <w:spacing w:after="0"/>
              <w:rPr>
                <w:noProof/>
              </w:rPr>
            </w:pPr>
            <w:bookmarkStart w:id="0" w:name="_GoBack"/>
            <w:bookmarkEnd w:id="0"/>
            <w:r>
              <w:rPr>
                <w:b/>
                <w:noProof/>
                <w:sz w:val="28"/>
              </w:rPr>
              <w:t>3161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33B3" w:rsidP="008C33B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33B3" w:rsidP="008C33B3">
            <w:pPr>
              <w:pStyle w:val="CRCoverPage"/>
              <w:spacing w:after="0"/>
              <w:jc w:val="center"/>
              <w:rPr>
                <w:noProof/>
                <w:sz w:val="28"/>
              </w:rPr>
            </w:pPr>
            <w:r>
              <w:rPr>
                <w:b/>
                <w:noProof/>
                <w:sz w:val="28"/>
              </w:rPr>
              <w:t>17.1.</w:t>
            </w:r>
            <w:r w:rsidR="00807CB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3B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8C33B3">
        <w:tc>
          <w:tcPr>
            <w:tcW w:w="9640" w:type="dxa"/>
            <w:gridSpan w:val="11"/>
          </w:tcPr>
          <w:p w:rsidR="001E41F3" w:rsidRDefault="001E41F3">
            <w:pPr>
              <w:pStyle w:val="CRCoverPage"/>
              <w:spacing w:after="0"/>
              <w:rPr>
                <w:noProof/>
                <w:sz w:val="8"/>
                <w:szCs w:val="8"/>
              </w:rPr>
            </w:pPr>
          </w:p>
        </w:tc>
      </w:tr>
      <w:tr w:rsidR="001E41F3" w:rsidTr="008C33B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33B3" w:rsidP="00F7574C">
            <w:pPr>
              <w:pStyle w:val="CRCoverPage"/>
              <w:spacing w:after="0"/>
              <w:ind w:left="100"/>
              <w:rPr>
                <w:noProof/>
              </w:rPr>
            </w:pPr>
            <w:r>
              <w:t>KI#</w:t>
            </w:r>
            <w:r w:rsidR="00F7574C">
              <w:t>3</w:t>
            </w:r>
            <w:r>
              <w:t xml:space="preserve">, clarification on the </w:t>
            </w:r>
            <w:r w:rsidR="00F7574C">
              <w:t>exposure of time sync service</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8C33B3">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8C33B3">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8C33B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33B3" w:rsidP="008C33B3">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8C33B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33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8C33B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8C33B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8C33B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33B3" w:rsidRDefault="00F7574C" w:rsidP="008C33B3">
            <w:pPr>
              <w:pStyle w:val="CRCoverPage"/>
              <w:spacing w:after="0"/>
              <w:ind w:left="100"/>
              <w:rPr>
                <w:lang w:eastAsia="zh-CN"/>
              </w:rPr>
            </w:pPr>
            <w:r>
              <w:rPr>
                <w:noProof/>
              </w:rPr>
              <w:t xml:space="preserve">The NEF monitor the UE capability and </w:t>
            </w:r>
            <w:r>
              <w:rPr>
                <w:lang w:eastAsia="ko-KR"/>
              </w:rPr>
              <w:t xml:space="preserve">availability. It does not monitoring the </w:t>
            </w:r>
            <w:r w:rsidRPr="00F7574C">
              <w:rPr>
                <w:lang w:eastAsia="ko-KR"/>
              </w:rPr>
              <w:t>e</w:t>
            </w:r>
            <w:r>
              <w:rPr>
                <w:lang w:eastAsia="ko-KR"/>
              </w:rPr>
              <w:t>vents at the DS-TT(s) and NW-TT. It is the TSCTSF</w:t>
            </w:r>
            <w:r>
              <w:rPr>
                <w:rFonts w:hint="eastAsia"/>
                <w:lang w:eastAsia="zh-CN"/>
              </w:rPr>
              <w:t xml:space="preserve"> </w:t>
            </w:r>
            <w:r>
              <w:rPr>
                <w:lang w:eastAsia="zh-CN"/>
              </w:rPr>
              <w:t>functionality.</w:t>
            </w:r>
          </w:p>
          <w:p w:rsidR="00F7574C" w:rsidRDefault="00F7574C" w:rsidP="008C33B3">
            <w:pPr>
              <w:pStyle w:val="CRCoverPage"/>
              <w:spacing w:after="0"/>
              <w:ind w:left="100"/>
              <w:rPr>
                <w:lang w:eastAsia="zh-CN"/>
              </w:rPr>
            </w:pPr>
            <w:r>
              <w:rPr>
                <w:lang w:eastAsia="zh-CN"/>
              </w:rPr>
              <w:t>In the agreed CR to the 23.502, the TSCTSF store the TSCTSF target adderss to UDR, not NEF.</w:t>
            </w:r>
          </w:p>
          <w:p w:rsidR="001E41F3" w:rsidRPr="008C33B3" w:rsidRDefault="00F7574C" w:rsidP="00F7574C">
            <w:pPr>
              <w:pStyle w:val="CRCoverPage"/>
              <w:spacing w:after="0"/>
              <w:ind w:left="100"/>
              <w:rPr>
                <w:noProof/>
              </w:rPr>
            </w:pPr>
            <w:r>
              <w:rPr>
                <w:lang w:eastAsia="zh-CN"/>
              </w:rPr>
              <w:t>Also, there is an EN on the “handling PMIC exchange while UE is in idle”, when the SMF send the PMIC to UE via SM context, it will trigger the paging when the UE is in idle. It proposes to remove the EN and add a Noet on this.</w:t>
            </w:r>
          </w:p>
        </w:tc>
      </w:tr>
      <w:tr w:rsidR="001E41F3" w:rsidTr="008C33B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C33B3" w:rsidTr="008C33B3">
        <w:tc>
          <w:tcPr>
            <w:tcW w:w="2694" w:type="dxa"/>
            <w:gridSpan w:val="2"/>
            <w:tcBorders>
              <w:left w:val="single" w:sz="4" w:space="0" w:color="auto"/>
            </w:tcBorders>
          </w:tcPr>
          <w:p w:rsidR="008C33B3" w:rsidRDefault="008C33B3" w:rsidP="008C3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33B3" w:rsidRDefault="00627B5E" w:rsidP="008C33B3">
            <w:pPr>
              <w:pStyle w:val="CRCoverPage"/>
              <w:spacing w:after="0"/>
              <w:ind w:left="100"/>
              <w:rPr>
                <w:lang w:eastAsia="ko-KR"/>
              </w:rPr>
            </w:pPr>
            <w:r>
              <w:rPr>
                <w:noProof/>
                <w:lang w:eastAsia="zh-CN"/>
              </w:rPr>
              <w:t xml:space="preserve">TSCTSF monitor the </w:t>
            </w:r>
            <w:r w:rsidRPr="00F7574C">
              <w:rPr>
                <w:lang w:eastAsia="ko-KR"/>
              </w:rPr>
              <w:t>events at the DS-TT(s) and NW-TT</w:t>
            </w:r>
            <w:r>
              <w:rPr>
                <w:lang w:eastAsia="ko-KR"/>
              </w:rPr>
              <w:t xml:space="preserve"> and report to PCF.</w:t>
            </w:r>
          </w:p>
          <w:p w:rsidR="00627B5E" w:rsidRDefault="00627B5E" w:rsidP="00627B5E">
            <w:pPr>
              <w:pStyle w:val="CRCoverPage"/>
              <w:spacing w:after="0"/>
              <w:ind w:left="100"/>
              <w:rPr>
                <w:lang w:eastAsia="zh-CN"/>
              </w:rPr>
            </w:pPr>
            <w:r>
              <w:rPr>
                <w:rFonts w:eastAsia="等线"/>
              </w:rPr>
              <w:t xml:space="preserve">Adding AF or NEF select the TSCTSF. Removig the EN on </w:t>
            </w:r>
            <w:r>
              <w:rPr>
                <w:lang w:eastAsia="zh-CN"/>
              </w:rPr>
              <w:t>handling PMIC exchange while UE is in idle and adding a Note.</w:t>
            </w:r>
          </w:p>
          <w:p w:rsidR="00627B5E" w:rsidRDefault="00627B5E" w:rsidP="00627B5E">
            <w:pPr>
              <w:pStyle w:val="CRCoverPage"/>
              <w:spacing w:after="0"/>
              <w:ind w:left="100"/>
              <w:rPr>
                <w:noProof/>
                <w:lang w:eastAsia="zh-CN"/>
              </w:rPr>
            </w:pPr>
            <w:r>
              <w:rPr>
                <w:lang w:eastAsia="zh-CN"/>
              </w:rPr>
              <w:t>The TSCTSF store the target address to UDR.</w:t>
            </w:r>
          </w:p>
        </w:tc>
      </w:tr>
      <w:tr w:rsidR="008C33B3" w:rsidTr="008C33B3">
        <w:tc>
          <w:tcPr>
            <w:tcW w:w="2694" w:type="dxa"/>
            <w:gridSpan w:val="2"/>
            <w:tcBorders>
              <w:left w:val="single" w:sz="4" w:space="0" w:color="auto"/>
            </w:tcBorders>
          </w:tcPr>
          <w:p w:rsidR="008C33B3" w:rsidRDefault="008C33B3" w:rsidP="008C33B3">
            <w:pPr>
              <w:pStyle w:val="CRCoverPage"/>
              <w:spacing w:after="0"/>
              <w:rPr>
                <w:b/>
                <w:i/>
                <w:noProof/>
                <w:sz w:val="8"/>
                <w:szCs w:val="8"/>
              </w:rPr>
            </w:pPr>
          </w:p>
        </w:tc>
        <w:tc>
          <w:tcPr>
            <w:tcW w:w="6946" w:type="dxa"/>
            <w:gridSpan w:val="9"/>
            <w:tcBorders>
              <w:right w:val="single" w:sz="4" w:space="0" w:color="auto"/>
            </w:tcBorders>
          </w:tcPr>
          <w:p w:rsidR="008C33B3" w:rsidRDefault="008C33B3" w:rsidP="008C33B3">
            <w:pPr>
              <w:pStyle w:val="CRCoverPage"/>
              <w:spacing w:after="0"/>
              <w:rPr>
                <w:noProof/>
                <w:sz w:val="8"/>
                <w:szCs w:val="8"/>
              </w:rPr>
            </w:pPr>
          </w:p>
        </w:tc>
      </w:tr>
      <w:tr w:rsidR="008C33B3" w:rsidTr="008C33B3">
        <w:tc>
          <w:tcPr>
            <w:tcW w:w="2694" w:type="dxa"/>
            <w:gridSpan w:val="2"/>
            <w:tcBorders>
              <w:left w:val="single" w:sz="4" w:space="0" w:color="auto"/>
              <w:bottom w:val="single" w:sz="4" w:space="0" w:color="auto"/>
            </w:tcBorders>
          </w:tcPr>
          <w:p w:rsidR="008C33B3" w:rsidRDefault="008C33B3" w:rsidP="008C3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33B3" w:rsidRDefault="00627B5E" w:rsidP="008C33B3">
            <w:pPr>
              <w:pStyle w:val="CRCoverPage"/>
              <w:spacing w:after="0"/>
              <w:ind w:left="100"/>
              <w:rPr>
                <w:noProof/>
                <w:lang w:eastAsia="zh-CN"/>
              </w:rPr>
            </w:pPr>
            <w:r>
              <w:rPr>
                <w:noProof/>
                <w:lang w:eastAsia="zh-CN"/>
              </w:rPr>
              <w:t>The NEF function description is incorrect.</w:t>
            </w:r>
            <w:r w:rsidR="008C33B3">
              <w:rPr>
                <w:noProof/>
                <w:lang w:eastAsia="zh-CN"/>
              </w:rPr>
              <w:t>.</w:t>
            </w:r>
          </w:p>
        </w:tc>
      </w:tr>
      <w:tr w:rsidR="001E41F3" w:rsidTr="008C33B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8C33B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7B5E">
            <w:pPr>
              <w:pStyle w:val="CRCoverPage"/>
              <w:spacing w:after="0"/>
              <w:ind w:left="100"/>
              <w:rPr>
                <w:noProof/>
                <w:lang w:eastAsia="zh-CN"/>
              </w:rPr>
            </w:pPr>
            <w:r>
              <w:rPr>
                <w:noProof/>
                <w:lang w:eastAsia="zh-CN"/>
              </w:rPr>
              <w:t>5.20, 5.27.1.8</w:t>
            </w:r>
          </w:p>
        </w:tc>
      </w:tr>
      <w:tr w:rsidR="001E41F3" w:rsidTr="008C33B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8C33B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8C33B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C33B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C33B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C33B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C33B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C33B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C33B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F90EF9" w:rsidRPr="009E0DE1" w:rsidRDefault="00F90EF9" w:rsidP="00F90EF9">
      <w:pPr>
        <w:pStyle w:val="2"/>
        <w:rPr>
          <w:lang w:eastAsia="ko-KR"/>
        </w:rPr>
      </w:pPr>
      <w:bookmarkStart w:id="4" w:name="_Toc20150020"/>
      <w:bookmarkStart w:id="5" w:name="_Toc27846819"/>
      <w:bookmarkStart w:id="6" w:name="_Toc36187950"/>
      <w:bookmarkStart w:id="7" w:name="_Toc45183854"/>
      <w:bookmarkStart w:id="8" w:name="_Toc47342696"/>
      <w:bookmarkStart w:id="9" w:name="_Toc51769397"/>
      <w:bookmarkStart w:id="10" w:name="_Toc75357068"/>
      <w:r w:rsidRPr="009E0DE1">
        <w:t>5.20</w:t>
      </w:r>
      <w:r w:rsidRPr="009E0DE1">
        <w:tab/>
      </w:r>
      <w:r w:rsidRPr="009E0DE1">
        <w:rPr>
          <w:lang w:eastAsia="ko-KR"/>
        </w:rPr>
        <w:t>External Exposure of Network Capability</w:t>
      </w:r>
      <w:bookmarkEnd w:id="4"/>
      <w:bookmarkEnd w:id="5"/>
      <w:bookmarkEnd w:id="6"/>
      <w:bookmarkEnd w:id="7"/>
      <w:bookmarkEnd w:id="8"/>
      <w:bookmarkEnd w:id="9"/>
      <w:bookmarkEnd w:id="10"/>
    </w:p>
    <w:p w:rsidR="00F90EF9" w:rsidRPr="009E0DE1" w:rsidRDefault="00F90EF9" w:rsidP="00F90EF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rsidR="00F90EF9" w:rsidRDefault="00F90EF9" w:rsidP="00F90EF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rsidR="00F90EF9" w:rsidRPr="009E0DE1" w:rsidRDefault="00F90EF9" w:rsidP="00F90EF9">
      <w:pPr>
        <w:rPr>
          <w:lang w:eastAsia="ko-KR"/>
        </w:rPr>
      </w:pPr>
      <w:r>
        <w:rPr>
          <w:lang w:eastAsia="ko-KR"/>
        </w:rPr>
        <w:t>Monitoring capability</w:t>
      </w:r>
      <w:r w:rsidRPr="00F7574C">
        <w:rPr>
          <w:lang w:eastAsia="ko-KR"/>
        </w:rPr>
        <w:t xml:space="preserve"> can be used to expose UE's availability for time synchronization service. In this case, the </w:t>
      </w:r>
      <w:ins w:id="11" w:author="zte-v1" w:date="2021-08-08T20:43:00Z">
        <w:r w:rsidR="00F7574C">
          <w:rPr>
            <w:lang w:eastAsia="ko-KR"/>
          </w:rPr>
          <w:t>TSCTSF</w:t>
        </w:r>
      </w:ins>
      <w:del w:id="12" w:author="zte-v1" w:date="2021-08-08T20:43:00Z">
        <w:r w:rsidRPr="00F7574C" w:rsidDel="00F7574C">
          <w:rPr>
            <w:lang w:eastAsia="ko-KR"/>
          </w:rPr>
          <w:delText>NEF</w:delText>
        </w:r>
      </w:del>
      <w:r w:rsidRPr="00F7574C">
        <w:rPr>
          <w:lang w:eastAsia="ko-KR"/>
        </w:rPr>
        <w:t xml:space="preserve"> may monitor events at the DS-TT(s) and NW-TT regarding IEEE Std 1588 [126] or IEEE Std 802.1AS [104] configuration operation as specified in clause 5.27.1.4 and upon detecting an event from DS-TT or NW-TT, the </w:t>
      </w:r>
      <w:ins w:id="13" w:author="zte-v1" w:date="2021-08-08T20:43:00Z">
        <w:r w:rsidR="00F7574C">
          <w:rPr>
            <w:lang w:eastAsia="ko-KR"/>
          </w:rPr>
          <w:t>TSCTSF</w:t>
        </w:r>
      </w:ins>
      <w:del w:id="14" w:author="zte-v1" w:date="2021-08-08T20:43:00Z">
        <w:r w:rsidRPr="00F7574C" w:rsidDel="00F7574C">
          <w:rPr>
            <w:lang w:eastAsia="ko-KR"/>
          </w:rPr>
          <w:delText>NEF</w:delText>
        </w:r>
      </w:del>
      <w:r w:rsidRPr="00F7574C">
        <w:rPr>
          <w:lang w:eastAsia="ko-KR"/>
        </w:rPr>
        <w:t xml:space="preserve"> </w:t>
      </w:r>
      <w:r>
        <w:rPr>
          <w:lang w:eastAsia="ko-KR"/>
        </w:rPr>
        <w:t xml:space="preserve">may report the UE availability for time synchronization event to </w:t>
      </w:r>
      <w:ins w:id="15" w:author="zte-v1" w:date="2021-08-08T20:43:00Z">
        <w:r w:rsidR="00F7574C">
          <w:rPr>
            <w:lang w:eastAsia="ko-KR"/>
          </w:rPr>
          <w:t xml:space="preserve">NEF. When the NEF receives the UE’s </w:t>
        </w:r>
        <w:r w:rsidR="00F7574C" w:rsidRPr="00F7574C">
          <w:rPr>
            <w:lang w:eastAsia="ko-KR"/>
          </w:rPr>
          <w:t xml:space="preserve">availability </w:t>
        </w:r>
        <w:r w:rsidR="00F7574C">
          <w:rPr>
            <w:lang w:eastAsia="ko-KR"/>
          </w:rPr>
          <w:t xml:space="preserve">event, it may report to </w:t>
        </w:r>
      </w:ins>
      <w:r>
        <w:rPr>
          <w:lang w:eastAsia="ko-KR"/>
        </w:rPr>
        <w:t>the authorised external party.</w:t>
      </w:r>
    </w:p>
    <w:p w:rsidR="00F90EF9" w:rsidRPr="009E0DE1" w:rsidRDefault="00F90EF9" w:rsidP="00F90EF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rsidR="00F90EF9" w:rsidRPr="009E0DE1" w:rsidRDefault="00F90EF9" w:rsidP="00F90EF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rsidR="00F90EF9" w:rsidRDefault="00F90EF9" w:rsidP="00F90EF9">
      <w:r>
        <w:t>Analytics reporting capability is comprised of means that allow discovery of type of analytics that can be consumed by external party, the request for consumption of analytics information generated by NWDAF.</w:t>
      </w:r>
    </w:p>
    <w:p w:rsidR="00F90EF9" w:rsidRPr="009E0DE1" w:rsidRDefault="00F90EF9" w:rsidP="00F90EF9">
      <w:r w:rsidRPr="009E0DE1">
        <w:t>An NEF may support CAPIF functions for external exposure as specified in clause 6.2.5.1.</w:t>
      </w:r>
    </w:p>
    <w:p w:rsidR="00F90EF9" w:rsidRDefault="00F90EF9" w:rsidP="00F90EF9">
      <w:r>
        <w:t>An NEF may support exposure of NWDAF analytics as specified in TS 23.288 [86].</w:t>
      </w:r>
    </w:p>
    <w:p w:rsidR="00A903F7" w:rsidRPr="00F90EF9"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23093B" w:rsidRPr="0023093B" w:rsidRDefault="0023093B" w:rsidP="0023093B">
      <w:pPr>
        <w:keepNext/>
        <w:keepLines/>
        <w:spacing w:before="120"/>
        <w:ind w:left="1418" w:hanging="1418"/>
        <w:outlineLvl w:val="3"/>
        <w:rPr>
          <w:rFonts w:ascii="Arial" w:eastAsia="等线" w:hAnsi="Arial"/>
          <w:sz w:val="24"/>
        </w:rPr>
      </w:pPr>
      <w:bookmarkStart w:id="16" w:name="_Toc75440860"/>
      <w:r w:rsidRPr="0023093B">
        <w:rPr>
          <w:rFonts w:ascii="Arial" w:eastAsia="等线" w:hAnsi="Arial"/>
          <w:sz w:val="24"/>
        </w:rPr>
        <w:lastRenderedPageBreak/>
        <w:t>5.27.1.8</w:t>
      </w:r>
      <w:r w:rsidRPr="0023093B">
        <w:rPr>
          <w:rFonts w:ascii="Arial" w:eastAsia="等线" w:hAnsi="Arial"/>
          <w:sz w:val="24"/>
        </w:rPr>
        <w:tab/>
        <w:t>Exposure of Time Synchronization</w:t>
      </w:r>
      <w:bookmarkEnd w:id="16"/>
    </w:p>
    <w:p w:rsidR="0023093B" w:rsidRPr="0023093B" w:rsidRDefault="0023093B" w:rsidP="0023093B">
      <w:pPr>
        <w:rPr>
          <w:rFonts w:eastAsia="等线"/>
        </w:rPr>
      </w:pPr>
      <w:r w:rsidRPr="0023093B">
        <w:rPr>
          <w:rFonts w:eastAsia="等线"/>
        </w:rPr>
        <w:t>5G System supports time synchronization service that can be activated and deactivated by AF. Exposure of time synchronization comprises the following capabilities:</w:t>
      </w:r>
    </w:p>
    <w:p w:rsidR="0023093B" w:rsidRPr="0023093B" w:rsidRDefault="0023093B" w:rsidP="0023093B">
      <w:pPr>
        <w:ind w:left="568" w:hanging="284"/>
        <w:rPr>
          <w:rFonts w:eastAsia="等线"/>
        </w:rPr>
      </w:pPr>
      <w:r w:rsidRPr="0023093B">
        <w:rPr>
          <w:rFonts w:eastAsia="等线"/>
        </w:rPr>
        <w:t>-</w:t>
      </w:r>
      <w:r w:rsidRPr="0023093B">
        <w:rPr>
          <w:rFonts w:eastAsia="等线"/>
        </w:rPr>
        <w:tab/>
        <w:t>The AF may learn 5GS and/or UE availability and capabilities for time synchronization service.</w:t>
      </w:r>
    </w:p>
    <w:p w:rsidR="0023093B" w:rsidRPr="0023093B" w:rsidRDefault="0023093B" w:rsidP="0023093B">
      <w:pPr>
        <w:ind w:left="568" w:hanging="284"/>
        <w:rPr>
          <w:rFonts w:eastAsia="等线"/>
        </w:rPr>
      </w:pPr>
      <w:r w:rsidRPr="0023093B">
        <w:rPr>
          <w:rFonts w:eastAsia="等线"/>
        </w:rPr>
        <w:t>-</w:t>
      </w:r>
      <w:r w:rsidRPr="0023093B">
        <w:rPr>
          <w:rFonts w:eastAsia="等线"/>
        </w:rPr>
        <w:tab/>
        <w:t>The AF may request to control the (g)PTP time synchronization service with specific service parameters for targeted UE(s). The AF controls activation and deactivation of the time synchronization service for the target UE(s).</w:t>
      </w:r>
    </w:p>
    <w:p w:rsidR="0023093B" w:rsidRPr="0023093B" w:rsidRDefault="0023093B" w:rsidP="0023093B">
      <w:pPr>
        <w:ind w:left="568" w:hanging="284"/>
        <w:rPr>
          <w:rFonts w:eastAsia="等线"/>
        </w:rPr>
      </w:pPr>
      <w:r w:rsidRPr="0023093B">
        <w:rPr>
          <w:rFonts w:eastAsia="等线"/>
        </w:rPr>
        <w:t>-</w:t>
      </w:r>
      <w:r w:rsidRPr="0023093B">
        <w:rPr>
          <w:rFonts w:eastAsia="等线"/>
        </w:rPr>
        <w:tab/>
        <w:t>The AF may request to control the 5G reference time distribution for targeted UE(s).</w:t>
      </w:r>
    </w:p>
    <w:p w:rsidR="0023093B" w:rsidRPr="0023093B" w:rsidRDefault="0023093B" w:rsidP="0023093B">
      <w:pPr>
        <w:rPr>
          <w:rFonts w:eastAsia="等线"/>
        </w:rPr>
      </w:pPr>
      <w:r w:rsidRPr="0023093B">
        <w:rPr>
          <w:rFonts w:eastAsia="等线"/>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rsidR="0023093B" w:rsidRPr="0023093B" w:rsidRDefault="0023093B" w:rsidP="0023093B">
      <w:pPr>
        <w:rPr>
          <w:rFonts w:eastAsia="等线"/>
        </w:rPr>
      </w:pPr>
      <w:r w:rsidRPr="0023093B">
        <w:rPr>
          <w:rFonts w:eastAsia="等线"/>
        </w:rPr>
        <w:t>The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(g)PTP grandmaster capable, 5G Clock quality. The NEF exposure of UE availability and capabilities for (g)PTP time synchronization service is described in clause 4.15.9.2 of TS 23.502 [3].</w:t>
      </w:r>
    </w:p>
    <w:p w:rsidR="0023093B" w:rsidRPr="0023093B" w:rsidDel="0023093B" w:rsidRDefault="0023093B" w:rsidP="0023093B">
      <w:pPr>
        <w:rPr>
          <w:del w:id="17" w:author="zte-v1" w:date="2021-08-07T22:41:00Z"/>
          <w:rFonts w:eastAsia="等线"/>
        </w:rPr>
      </w:pPr>
      <w:r w:rsidRPr="0023093B">
        <w:rPr>
          <w:rFonts w:eastAsia="等线"/>
        </w:rPr>
        <w:t>The AF request to control the (g)PTP time synchronization service is sent to the NEF and may target a UE or multiple UEs. The request may be targeted to:</w:t>
      </w:r>
      <w:ins w:id="18" w:author="zte-v1" w:date="2021-08-07T22:41:00Z">
        <w:r>
          <w:rPr>
            <w:rFonts w:eastAsia="等线"/>
          </w:rPr>
          <w:t xml:space="preserve"> </w:t>
        </w:r>
      </w:ins>
    </w:p>
    <w:p w:rsidR="0023093B" w:rsidRPr="0023093B" w:rsidRDefault="0023093B" w:rsidP="0023093B">
      <w:pPr>
        <w:rPr>
          <w:rFonts w:eastAsia="等线"/>
        </w:rPr>
      </w:pPr>
      <w:r w:rsidRPr="0023093B">
        <w:rPr>
          <w:rFonts w:eastAsia="等线"/>
        </w:rPr>
        <w:t>Individual UEs identified using GPSI, Group of UEs identified using External Group Identity, or an IP address/Prefix or a MAC address, or any UE accessing the combination of DNN, S-NSSAI.</w:t>
      </w:r>
    </w:p>
    <w:p w:rsidR="0023093B" w:rsidRPr="0023093B" w:rsidRDefault="0023093B" w:rsidP="0023093B">
      <w:pPr>
        <w:rPr>
          <w:rFonts w:eastAsia="等线"/>
        </w:rPr>
      </w:pPr>
      <w:r w:rsidRPr="0023093B">
        <w:rPr>
          <w:rFonts w:eastAsia="等线"/>
        </w:rP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rsidR="0023093B" w:rsidRPr="0023093B" w:rsidRDefault="0023093B" w:rsidP="0023093B">
      <w:pPr>
        <w:rPr>
          <w:rFonts w:eastAsia="等线"/>
        </w:rPr>
      </w:pPr>
      <w:r w:rsidRPr="0023093B">
        <w:rPr>
          <w:rFonts w:eastAsia="等线"/>
        </w:rP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rsidR="0023093B" w:rsidRPr="0023093B" w:rsidRDefault="0023093B" w:rsidP="0023093B">
      <w:pPr>
        <w:keepLines/>
        <w:ind w:left="1560" w:hanging="1276"/>
        <w:rPr>
          <w:rFonts w:eastAsia="等线"/>
          <w:color w:val="FF0000"/>
        </w:rPr>
      </w:pPr>
      <w:r w:rsidRPr="0023093B">
        <w:rPr>
          <w:rFonts w:eastAsia="等线"/>
          <w:color w:val="FF0000"/>
        </w:rPr>
        <w:t>Editor's note:</w:t>
      </w:r>
      <w:r w:rsidRPr="0023093B">
        <w:rPr>
          <w:rFonts w:eastAsia="等线"/>
          <w:color w:val="FF0000"/>
        </w:rPr>
        <w:tab/>
        <w:t>The clock accuracy attribute for time synchronization configuration, NEF exposure of 5G time domain accuracy, AF input regarding requested accuracy and use of time sync accuracy within 5G System is FFS.</w:t>
      </w:r>
    </w:p>
    <w:p w:rsidR="0023093B" w:rsidRDefault="0023093B" w:rsidP="0023093B">
      <w:pPr>
        <w:rPr>
          <w:ins w:id="19" w:author="zte-v1" w:date="2021-08-07T22:41:00Z"/>
          <w:rFonts w:eastAsia="等线"/>
        </w:rPr>
      </w:pPr>
      <w:ins w:id="20" w:author="zte-v1" w:date="2021-08-07T22:41:00Z">
        <w:r>
          <w:rPr>
            <w:rFonts w:eastAsia="等线"/>
          </w:rPr>
          <w:t>The AF or NEF select the TSCTSF as specified in clause 6.3.24.</w:t>
        </w:r>
      </w:ins>
    </w:p>
    <w:p w:rsidR="0023093B" w:rsidRDefault="0023093B" w:rsidP="0023093B">
      <w:pPr>
        <w:rPr>
          <w:rFonts w:eastAsia="等线"/>
        </w:rPr>
      </w:pPr>
      <w:r w:rsidRPr="0023093B">
        <w:rPr>
          <w:rFonts w:eastAsia="等线"/>
        </w:rP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BMIC to manage the IEEE Std 1588 [126] or IEEE Std 802.1AS [104] operation in the DS-TT or NW-TT, respectively (see clause 5.27.1.4).</w:t>
      </w:r>
    </w:p>
    <w:p w:rsidR="0023093B" w:rsidRPr="0023093B" w:rsidDel="00F7574C" w:rsidRDefault="0023093B" w:rsidP="0023093B">
      <w:pPr>
        <w:keepLines/>
        <w:ind w:left="1560" w:hanging="1276"/>
        <w:rPr>
          <w:del w:id="21" w:author="zte-v1" w:date="2021-08-08T18:40:00Z"/>
          <w:rFonts w:eastAsia="等线"/>
          <w:color w:val="FF0000"/>
        </w:rPr>
      </w:pPr>
      <w:del w:id="22" w:author="zte-v1" w:date="2021-08-08T18:40:00Z">
        <w:r w:rsidRPr="0023093B" w:rsidDel="00F7574C">
          <w:rPr>
            <w:rFonts w:eastAsia="等线"/>
            <w:color w:val="FF0000"/>
          </w:rPr>
          <w:delText>Editor's note:</w:delText>
        </w:r>
        <w:r w:rsidRPr="0023093B" w:rsidDel="00F7574C">
          <w:rPr>
            <w:rFonts w:eastAsia="等线"/>
            <w:color w:val="FF0000"/>
          </w:rPr>
          <w:tab/>
          <w:delText>Handling of PMIC exchange with UE(s) in idle mode is FFS.</w:delText>
        </w:r>
      </w:del>
    </w:p>
    <w:p w:rsidR="00F7574C" w:rsidRPr="00F7574C" w:rsidRDefault="00F7574C" w:rsidP="00F7574C">
      <w:pPr>
        <w:keepLines/>
        <w:ind w:left="1135" w:hanging="851"/>
        <w:rPr>
          <w:ins w:id="23" w:author="zte-v1" w:date="2021-08-08T18:40:00Z"/>
          <w:rFonts w:eastAsia="等线"/>
        </w:rPr>
      </w:pPr>
      <w:ins w:id="24" w:author="zte-v1" w:date="2021-08-08T18:40:00Z">
        <w:r w:rsidRPr="00F7574C">
          <w:rPr>
            <w:rFonts w:eastAsia="等线"/>
          </w:rPr>
          <w:t>NOTE:</w:t>
        </w:r>
        <w:r w:rsidRPr="00F7574C">
          <w:rPr>
            <w:rFonts w:eastAsia="等线"/>
          </w:rPr>
          <w:tab/>
        </w:r>
        <w:r>
          <w:rPr>
            <w:rFonts w:eastAsia="等线"/>
          </w:rPr>
          <w:t xml:space="preserve">For the UE/DS-TT in the idle mode, </w:t>
        </w:r>
      </w:ins>
      <w:ins w:id="25" w:author="zte-v1" w:date="2021-08-08T20:45:00Z">
        <w:r w:rsidR="00F278E3">
          <w:rPr>
            <w:rFonts w:eastAsia="等线"/>
          </w:rPr>
          <w:t>PMIC exchange by SMF will trigger the paging to the UE.</w:t>
        </w:r>
      </w:ins>
      <w:ins w:id="26" w:author="zte-v1" w:date="2021-08-08T20:46:00Z">
        <w:r w:rsidR="00F278E3">
          <w:rPr>
            <w:rFonts w:eastAsia="等线"/>
          </w:rPr>
          <w:t xml:space="preserve"> After the UE connect to 5GS, it can receives the PMIC via NAS message.</w:t>
        </w:r>
      </w:ins>
    </w:p>
    <w:p w:rsidR="0023093B" w:rsidRPr="0023093B" w:rsidRDefault="0023093B" w:rsidP="0023093B">
      <w:pPr>
        <w:rPr>
          <w:rFonts w:eastAsia="等线"/>
        </w:rPr>
      </w:pPr>
      <w:r w:rsidRPr="0023093B">
        <w:rPr>
          <w:rFonts w:eastAsia="等线"/>
        </w:rPr>
        <w:t xml:space="preserve">The </w:t>
      </w:r>
      <w:ins w:id="27" w:author="zte-v1" w:date="2021-08-07T22:42:00Z">
        <w:r>
          <w:rPr>
            <w:rFonts w:eastAsia="等线"/>
          </w:rPr>
          <w:t>TSCTSF</w:t>
        </w:r>
      </w:ins>
      <w:del w:id="28" w:author="zte-v1" w:date="2021-08-07T22:42:00Z">
        <w:r w:rsidRPr="0023093B" w:rsidDel="0023093B">
          <w:rPr>
            <w:rFonts w:eastAsia="等线"/>
          </w:rPr>
          <w:delText>NEF</w:delText>
        </w:r>
      </w:del>
      <w:r w:rsidRPr="0023093B">
        <w:rPr>
          <w:rFonts w:eastAsia="等线"/>
        </w:rPr>
        <w:t xml:space="preserve"> stores the Notification Target Address in the UDR for the combination of D</w:t>
      </w:r>
      <w:ins w:id="29" w:author="zte-v1" w:date="2021-08-07T22:42:00Z">
        <w:r>
          <w:rPr>
            <w:rFonts w:eastAsia="等线"/>
          </w:rPr>
          <w:t>NN</w:t>
        </w:r>
      </w:ins>
      <w:del w:id="30" w:author="zte-v1" w:date="2021-08-07T22:42:00Z">
        <w:r w:rsidRPr="0023093B" w:rsidDel="0023093B">
          <w:rPr>
            <w:rFonts w:eastAsia="等线"/>
          </w:rPr>
          <w:delText>SS</w:delText>
        </w:r>
      </w:del>
      <w:r w:rsidRPr="0023093B">
        <w:rPr>
          <w:rFonts w:eastAsia="等线"/>
        </w:rPr>
        <w:t xml:space="preserve"> and S-NSSAI until the target UE establishes the PDU Session to this DNN/S-NSSAI. The PCF can retrieve the Notification Target Address from the UDR based on the DNN/S-NSSAI. The PCF notifies the </w:t>
      </w:r>
      <w:del w:id="31" w:author="zte-v1" w:date="2021-08-07T22:42:00Z">
        <w:r w:rsidRPr="0023093B" w:rsidDel="0023093B">
          <w:rPr>
            <w:rFonts w:eastAsia="等线"/>
          </w:rPr>
          <w:delText xml:space="preserve">NEF </w:delText>
        </w:r>
      </w:del>
      <w:ins w:id="32" w:author="zte-v1" w:date="2021-08-07T22:42:00Z">
        <w:r>
          <w:rPr>
            <w:rFonts w:eastAsia="等线"/>
          </w:rPr>
          <w:t>TSCTSF</w:t>
        </w:r>
        <w:r w:rsidRPr="0023093B">
          <w:rPr>
            <w:rFonts w:eastAsia="等线"/>
          </w:rPr>
          <w:t xml:space="preserve"> </w:t>
        </w:r>
      </w:ins>
      <w:r w:rsidRPr="0023093B">
        <w:rPr>
          <w:rFonts w:eastAsia="等线"/>
        </w:rPr>
        <w:t xml:space="preserve">for the PDU session establishment using the Notification Target Address as received from the UDR. The </w:t>
      </w:r>
      <w:del w:id="33" w:author="zte-v1" w:date="2021-08-07T22:42:00Z">
        <w:r w:rsidRPr="0023093B" w:rsidDel="0023093B">
          <w:rPr>
            <w:rFonts w:eastAsia="等线"/>
          </w:rPr>
          <w:delText xml:space="preserve">NEF </w:delText>
        </w:r>
      </w:del>
      <w:ins w:id="34" w:author="zte-v1" w:date="2021-08-07T22:42:00Z">
        <w:r>
          <w:rPr>
            <w:rFonts w:eastAsia="等线"/>
          </w:rPr>
          <w:t>TSCTSF</w:t>
        </w:r>
        <w:r w:rsidRPr="0023093B">
          <w:rPr>
            <w:rFonts w:eastAsia="等线"/>
          </w:rPr>
          <w:t xml:space="preserve"> </w:t>
        </w:r>
      </w:ins>
      <w:r w:rsidRPr="0023093B">
        <w:rPr>
          <w:rFonts w:eastAsia="等线"/>
        </w:rPr>
        <w:t>deletes the Notification Target Address from the UDR when it completes a time synchronization deactivation request for this DNN/S-NSSAI.</w:t>
      </w:r>
    </w:p>
    <w:p w:rsidR="0023093B" w:rsidRPr="0023093B" w:rsidRDefault="0023093B" w:rsidP="0023093B">
      <w:pPr>
        <w:rPr>
          <w:rFonts w:eastAsia="等线"/>
        </w:rPr>
      </w:pPr>
      <w:r w:rsidRPr="0023093B">
        <w:rPr>
          <w:rFonts w:eastAsia="等线"/>
        </w:rPr>
        <w:lastRenderedPageBreak/>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NEF.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rsidR="0023093B" w:rsidRPr="0023093B" w:rsidRDefault="0023093B" w:rsidP="0023093B">
      <w:pPr>
        <w:rPr>
          <w:rFonts w:eastAsia="等线"/>
        </w:rPr>
      </w:pPr>
      <w:r w:rsidRPr="0023093B">
        <w:rPr>
          <w:rFonts w:eastAsia="等线"/>
        </w:rP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rsidR="00A903F7" w:rsidRPr="0023093B"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521" w:rsidRDefault="00D37521">
      <w:r>
        <w:separator/>
      </w:r>
    </w:p>
  </w:endnote>
  <w:endnote w:type="continuationSeparator" w:id="0">
    <w:p w:rsidR="00D37521" w:rsidRDefault="00D37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521" w:rsidRDefault="00D37521">
      <w:r>
        <w:separator/>
      </w:r>
    </w:p>
  </w:footnote>
  <w:footnote w:type="continuationSeparator" w:id="0">
    <w:p w:rsidR="00D37521" w:rsidRDefault="00D37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38"/>
    <w:rsid w:val="0005438B"/>
    <w:rsid w:val="000A6394"/>
    <w:rsid w:val="000B7FED"/>
    <w:rsid w:val="000C038A"/>
    <w:rsid w:val="000C6598"/>
    <w:rsid w:val="00145D43"/>
    <w:rsid w:val="00161DA0"/>
    <w:rsid w:val="00170B34"/>
    <w:rsid w:val="00192C46"/>
    <w:rsid w:val="001A08B3"/>
    <w:rsid w:val="001A7B60"/>
    <w:rsid w:val="001B52F0"/>
    <w:rsid w:val="001B7A65"/>
    <w:rsid w:val="001C1951"/>
    <w:rsid w:val="001E41F3"/>
    <w:rsid w:val="0023093B"/>
    <w:rsid w:val="0026004D"/>
    <w:rsid w:val="002640DD"/>
    <w:rsid w:val="00275D12"/>
    <w:rsid w:val="00284FEB"/>
    <w:rsid w:val="002860C4"/>
    <w:rsid w:val="002B5741"/>
    <w:rsid w:val="00305259"/>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05E97"/>
    <w:rsid w:val="00621188"/>
    <w:rsid w:val="006257ED"/>
    <w:rsid w:val="00627B5E"/>
    <w:rsid w:val="00695808"/>
    <w:rsid w:val="006B46FB"/>
    <w:rsid w:val="006B5A4D"/>
    <w:rsid w:val="006E21FB"/>
    <w:rsid w:val="00792342"/>
    <w:rsid w:val="007977A8"/>
    <w:rsid w:val="007B512A"/>
    <w:rsid w:val="007C2097"/>
    <w:rsid w:val="007D6A07"/>
    <w:rsid w:val="007F7259"/>
    <w:rsid w:val="008040A8"/>
    <w:rsid w:val="00807CBD"/>
    <w:rsid w:val="008279FA"/>
    <w:rsid w:val="008626E7"/>
    <w:rsid w:val="00866ED3"/>
    <w:rsid w:val="00870EE7"/>
    <w:rsid w:val="008863B9"/>
    <w:rsid w:val="00891AF2"/>
    <w:rsid w:val="008A45A6"/>
    <w:rsid w:val="008C33B3"/>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29EB"/>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37521"/>
    <w:rsid w:val="00D50255"/>
    <w:rsid w:val="00D66520"/>
    <w:rsid w:val="00DE34CF"/>
    <w:rsid w:val="00E13F3D"/>
    <w:rsid w:val="00E34898"/>
    <w:rsid w:val="00EB09B7"/>
    <w:rsid w:val="00EE7D7C"/>
    <w:rsid w:val="00F25D98"/>
    <w:rsid w:val="00F278E3"/>
    <w:rsid w:val="00F300FB"/>
    <w:rsid w:val="00F7574C"/>
    <w:rsid w:val="00F75A33"/>
    <w:rsid w:val="00F90E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3A5DD-252C-429E-956F-FABDCB27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4</Pages>
  <Words>1916</Words>
  <Characters>10924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2018-11-05T09:14:00Z</dcterms:created>
  <dcterms:modified xsi:type="dcterms:W3CDTF">2021-08-10T11:52:00Z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